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71 vom 14. März 2011</w:t>
      </w:r>
    </w:p>
    <w:p>
      <w:r>
        <w:t>GR Gerichte, 2011-03-14, DE</w:t>
      </w:r>
    </w:p>
    <w:p>
      <w:r>
        <w:rPr>
          <w:b/>
        </w:rPr>
        <w:t xml:space="preserve">Quelle: </w:t>
      </w:r>
      <w:r>
        <w:t>https://mcp.opencaselaw.ch/entscheid/gr_gerichte_ZK2 2010 71</w:t>
      </w:r>
    </w:p>
    <w:p>
      <w:r>
        <w:t>FR: GR_GERICHTE ZK2 2010 71 du 14 mars 2011</w:t>
      </w:r>
    </w:p>
    <w:p>
      <w:r>
        <w:t>IT: GR_GERICHTE ZK2 2010 71 del 14 marzo 2011</w:t>
      </w:r>
    </w:p>
    <w:p>
      <w:pPr>
        <w:pStyle w:val="Heading2"/>
      </w:pPr>
      <w:r>
        <w:t>Regeste</w:t>
      </w:r>
    </w:p>
    <w:p>
      <w:r>
        <w:t>Schadenersatzforderung aus Steuerarrest | Berufung anderes, OR verwandtes Bundesgesetz</w:t>
      </w:r>
    </w:p>
    <w:p>
      <w:pPr>
        <w:pStyle w:val="Heading2"/>
      </w:pPr>
      <w:r>
        <w:t>Erwägungen</w:t>
      </w:r>
    </w:p>
    <w:p>
      <w:r>
        <w:rPr>
          <w:b/>
        </w:rPr>
        <w:t>E. 20</w:t>
      </w:r>
    </w:p>
    <w:p>
      <w:r>
        <w:t>November 2002, also rund drei Wochen nach Erlass der Sicherstellungsverfü- gungen, ersuchte die Steuerverwaltung das Betreibungsamt, den vollzogenen Ar- rest bedingungslos aufzuheben (BB 8). Dies mit der Begründung, dass der Schuldner über die Bank B. in C. ein unwiderrufliches Zahlungsversprechen abge- geben habe, womit die in der Sicherstellungsverfügung geforderte Sicherheit ge- leistet sei. X. löste die Bankgarantie der Bank B. am 23. Dezember 2004 mit einer Bankgarantie der D. ab (BB 7). Am 30. April 2007 leistete die D. eine Zahlung von Fr. 192'171.45 an die Steuerverwaltung (KB 11). d/bb. Betrachtet man diesen Ablauf der Geschehnisse und die in E. 6c/bb ge- schilderten Szenarien, so wird deutlich, dass X. mit der Leistung der Bankgarantie an die Steuerverwaltung Graubünden am 12. November 2002 seiner Pflicht zur Erfüllung der Sicherstellungsverfügungen vom 30. Oktober 2002 nachkam. Dies geht nicht zuletzt aus dem Wortlaut der erwähnten Garantie selbst hervor, die ex- plizit auf die Sicherstellungsverfügungen Bezug nimmt (BB 6, vgl. auch BB 7). Durch das Befolgen der Sicherstellungsverfügungen konnte auf eine Prosequie- rung des Arrests verzichtet und dieser am 20. November 2002 aufgehoben wer- den. d/cc. Der Arrest als solcher dauerte aufgrund des Gesagten lediglich drei Wo- chen und kann daher – auch wenn er zweifellos ein zusätzliches Druckmittel dar- stellte, damit der Berufungskläger der Sicherstellungsverfügung Folge leistete – als Ursache des vom Genannten geltend gemachten Schadens ausgeschlossen werden. Der Steuerschuldner macht denn auch nicht geltend, der Schaden sei aufgrund der Unmöglichkeit entstanden, über das während drei Wochen verarres- tierte Depot-Konto zu verfügen. Der vorliegend zu beurteilende Schaden besteht</w:t>
      </w:r>
    </w:p>
    <w:p>
      <w:r>
        <w:t>Seite 19 — 22 vielmehr in den (hälftigen) Kosten für die Bankgarantie, die der Berufungskläger am 12. November 2002 leistete und die bis am 30. April 2007 bestand. Um das Vorliegen eines Arrestschadens bzw. des Kausalzusammenhangs zwischen dem Arrest und dem Schaden zu begründen, bringt X. vor, er habe mit der Bankgaran- tie die Verarrestierung abgelöst. Zu beachten ist, dass es sich bei dieser Ablösung nicht um eine – ohne Weiteres einen Arrestschaden begründende – Auslösung der verarrestierten Vermögenswerte durch Leistung einer ihrem Wert entspre- chenden Sicherheit an das Betreibungsamt im Sinne von Art. 277 SchKG handel- te, wäre der Arrest diesfalls doch bestehen geblieben. Vielmehr stehen die Kosten einer Sicherheitsleistung im Sinne von Art. 158 Abs. 2bis StG bzw. Art. 169 Abs. 2 DBG, die X. der Steuerverwaltung erbrachte, als Schaden in Frage. Diese Kosten entstanden dadurch, dass der Berufungskläger die in den Sicherstellungsverfü- gungen vom 30. Oktober 2002 verlangte Sicherheit in Form einer Bankgarantie beibrachte und damit, wie bereits erwähnt, seiner Pflicht zur Befolgung der ent- sprechenden Verfügungen nachkam. Dass die Erfüllung der Sicherstellungsverfü- gungen eine Zwangsvollstreckung der entsprechenden Forderungen, sei es durch Arrest oder durch eine Betreibung auf Sicherheitsleistung, entbehrlich machte, bedeutet nun aber nicht, dass die fraglichen, nach Aufhebung des Arrests ent- standenen Kosten einen Arrestsschaden darstellen. Ursache des von X. geltend gemachten Schadens sind vielmehr die Sicherstellungsverfügungen als solche, wobei namentlich der Umstand ins Gewicht fällt, dass diese während viereinhalb Jahren in einem Betrag aufrecht erhalten wurden, der sich nach rechtskräftigem Abschluss des Veranlagungsverfahrens als um rund die Hälfte zu hoch erwies. Dass die entsprechenden Bankgarantiekosten auf die dreiwöchige Arrestlegung zurückzuführen sind und in diesem Sinn durch den Arrest bewirkt wurden, kann indes nicht gesagt werden. Dass die Ursache des Schadens in den Sicherstellungsverfügungen im engeren Sinn liegt und nicht im gestützt darauf für kurze Zeit angeordneten Arrest, wird ausserdem daraus ersichtlich, dass der Berufungskläger ohne Arrestlegung eben- falls einen Schaden in der von ihm geltend gemachten Höhe erlitten hätte. Wie weiter oben dargelegt wurde, ist eine Sicherstellungsverfügung eine verbindliche und daher nötigenfalls auch zwangsweise durchsetzbare hoheitliche Anordnung der Steuerbehörden, deren Vollstreckung durch eine dagegen erhobene Be- schwerde nicht gehemmt wird (vgl. Art. 169 Abs. 4 DBG, Art. 158 Abs. 4 StG). Mit anderen Worten wäre der Steuerschuldner in jedem Fall, auch ohne – in casu vor- übergehende – Verwendung der Sicherstellungsverfügungen als Arrestbefehl, zur Befolgung derselben bzw. zur Leistung entsprechender Sicherheiten verpflichtet</w:t>
      </w:r>
    </w:p>
    <w:p>
      <w:r>
        <w:t>Seite 20 — 22 gewesen. Wäre er dieser Pflicht nicht nachgekommen, hätte die Steuerverwaltung die Möglichkeit gehabt, eine Betreibung auf Sicherheitsleistung einzuleiten. Wenn der Berufungskläger daher vorbringt, dass er ohne Arrest nicht verpflichtet gewe- sen wäre, Sicherheiten zu leisten oder dass die Steuerverwaltung die Sicherstel- lungsverfügungen ohne Arrestlegung gar nicht hätte durchsetzen können, kann ihm nicht gefolgt werden. Unter den vorliegend gegebenen Umständen erweisen sich somit die Sicherstellungsverfügungen in ihrer primären Funktion als Forde- rungstitel als massgebliche Schadensursache. Der gestützt auf die Verfügungen für lediglich drei Wochen angeordnete Arrest war dagegen keine condicio sine qua non des von X. geltend gemachten Schadens. Er kann nämlich durchaus wegge- dacht werden, ohne dass damit auch der Schaden entfiele (vgl. Heinz Rey, Aus- servertragliches Haftpflichtrecht, 4. A., C. 2008, N 518). e/aa. Gestützt auf diese Ausführungen steht fest, dass der von X. geltend ge- machte Schaden nicht aufgrund der Arrestlegung, sondern aufgrund der Sicher- stellungsverfügungen im engeren Sinn entstanden ist. Der Kausalzusammenhang zwischen Arrest und Schaden ist in diesem Sinn zu verneinen. e/bb. Über die Folgen eines Schadens, der nicht aus dem kurzzeitigen Arrest, sondern aus den Sicherstellungsverfügungen im engeren Sinn – insbesondere aus deren ungewöhnlich langen Aufrechterhaltung in einem zu hohen Betrag – resultiert, hat das Kantonsgericht im vorliegenden Arrest-Schadenersatzverfahren nicht zu urteilen. Vielmehr sind die entsprechenden Haftungsfragen in einem öf- fentlich-rechtlichen Verantwortlichkeitsverfahren zu regeln. 7a. Zeigt sich, dass der Arrest in casu nicht ungerechtfertigt war, und besteht zudem kein Kausalzusammenhang zwischen dem Arrest und dem vom Beru- fungskläger geltend gemachten Schaden, ist die Abweisung der Schadenersatz- klage von X. durch die Vorinstanz im Ergebnis – wenn auch mit abweichender Be- gründung – als korrekt zu beurteilen. Die Berufung erweist sich unter diesen Um- ständen als unbegründet und ist abzuweisen. b/aa. Nach Art. 122 Abs. 1 ZPO-GR wird der in einem zivilrechtlichen Verfahren unterliegende Teil in der Regel zur Übernahme sämtlicher Kosten des Verfahrens verpflichtet. Die unterliegende Partei wird nach Art. 122 Abs. 2 ZPO-GR zudem in der Regel verpflichtet, der obsiegenden Partei alle ihr durch den Rechtsstreit ver- ursachten, notwendigen Kosten zu ersetzen. Diese Grundsätze gelten nicht nur für das erstinstanzliche Verfahren, sondern gestützt auf Art. 223 ZPO-GR in Verbin- dung mit Art. 122 ZPO-GR auch für das Berufungsverfahren.</w:t>
      </w:r>
    </w:p>
    <w:p>
      <w:r>
        <w:t>Seite 21 — 22 b/bb. Da die Berufung von X. abgewiesen wird, hat der Genannte die Kosten des Berufungsverfahrens von Fr. 5'000.-- zuzüglich Schreibgebühren zu tragen. Zu- dem hat er den Berufungsbeklagten für das Berufungsverfahren ausseramtlich zu entschädigen. Rechtsanwalt Allenspach macht für das zweitinstanzliche Verfahren einen Aufwand von Fr. 2'908.20 inklusive Spesen und Mehrwertsteuer geltend, was angemessen erscheint und im Übrigen auch von der Gegenseite nicht bean- standet wurde. Somit wird die ausseramtliche Entschädigung, die X. an den Kan- ton Graubünden zu leisten hat, auf Fr. 2'908.20 festgesetzt.</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